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50"/>
        </w:rPr>
        <w:t>SUBCONTRACTOR AGREEMENT</w:t>
      </w:r>
    </w:p>
    <w:p>
      <w:pPr>
        <w:jc w:val="center"/>
      </w:pPr>
      <w:r>
        <w:rPr>
          <w:color w:val="666666"/>
          <w:sz w:val="20"/>
        </w:rPr>
        <w:t>Master Terms + Project Work Authorization</w:t>
      </w:r>
    </w:p>
    <w:p>
      <w:r>
        <w:t>This Subcontractor Agreement (“Agreement”) is entered into between Redline Solutions (“Contractor”) and the subcontractor identified below (“Subcontractor”). It establishes the terms under which Subcontractor may perform labor, furnish materials, equipment, supervision, or other services for Contractor. Each project may be authorized by a written scope, purchase order, proposal, work order, or Exhibit A incorporated into this Agreement.</w:t>
      </w:r>
    </w:p>
    <w:tbl>
      <w:tblPr>
        <w:tblStyle w:val="TableGrid"/>
        <w:tblW w:type="auto" w:w="0"/>
        <w:jc w:val="center"/>
        <w:tblLook w:firstColumn="1" w:firstRow="1" w:lastColumn="0" w:lastRow="0" w:noHBand="0" w:noVBand="1" w:val="04A0"/>
      </w:tblPr>
      <w:tblGrid>
        <w:gridCol w:w="5184"/>
        <w:gridCol w:w="5184"/>
      </w:tblGrid>
      <w:tr>
        <w:tc>
          <w:tcPr>
            <w:tcW w:type="dxa" w:w="5184"/>
            <w:shd w:fill="F2F2F2"/>
          </w:tcPr>
          <w:p>
            <w:r>
              <w:rPr>
                <w:b/>
              </w:rPr>
              <w:t>Subcontractor Legal Name</w:t>
            </w:r>
          </w:p>
        </w:tc>
        <w:tc>
          <w:tcPr>
            <w:tcW w:type="dxa" w:w="5184"/>
          </w:tcPr>
          <w:p>
            <w:r>
              <w:t>[Edit]</w:t>
            </w:r>
          </w:p>
        </w:tc>
      </w:tr>
      <w:tr>
        <w:tc>
          <w:tcPr>
            <w:tcW w:type="dxa" w:w="5184"/>
            <w:shd w:fill="F2F2F2"/>
          </w:tcPr>
          <w:p>
            <w:r>
              <w:rPr>
                <w:b/>
              </w:rPr>
              <w:t>DBA / Trade Name</w:t>
            </w:r>
          </w:p>
        </w:tc>
        <w:tc>
          <w:tcPr>
            <w:tcW w:type="dxa" w:w="5184"/>
          </w:tcPr>
          <w:p>
            <w:r>
              <w:t>[Edit]</w:t>
            </w:r>
          </w:p>
        </w:tc>
      </w:tr>
      <w:tr>
        <w:tc>
          <w:tcPr>
            <w:tcW w:type="dxa" w:w="5184"/>
            <w:shd w:fill="F2F2F2"/>
          </w:tcPr>
          <w:p>
            <w:r>
              <w:rPr>
                <w:b/>
              </w:rPr>
              <w:t>Address</w:t>
            </w:r>
          </w:p>
        </w:tc>
        <w:tc>
          <w:tcPr>
            <w:tcW w:type="dxa" w:w="5184"/>
          </w:tcPr>
          <w:p>
            <w:r>
              <w:t>[Edit]</w:t>
            </w:r>
          </w:p>
        </w:tc>
      </w:tr>
      <w:tr>
        <w:tc>
          <w:tcPr>
            <w:tcW w:type="dxa" w:w="5184"/>
            <w:shd w:fill="F2F2F2"/>
          </w:tcPr>
          <w:p>
            <w:r>
              <w:rPr>
                <w:b/>
              </w:rPr>
              <w:t>Phone / Email</w:t>
            </w:r>
          </w:p>
        </w:tc>
        <w:tc>
          <w:tcPr>
            <w:tcW w:type="dxa" w:w="5184"/>
          </w:tcPr>
          <w:p>
            <w:r>
              <w:t>[Edit]</w:t>
            </w:r>
          </w:p>
        </w:tc>
      </w:tr>
      <w:tr>
        <w:tc>
          <w:tcPr>
            <w:tcW w:type="dxa" w:w="5184"/>
            <w:shd w:fill="F2F2F2"/>
          </w:tcPr>
          <w:p>
            <w:r>
              <w:rPr>
                <w:b/>
              </w:rPr>
              <w:t>Project / Job Address</w:t>
            </w:r>
          </w:p>
        </w:tc>
        <w:tc>
          <w:tcPr>
            <w:tcW w:type="dxa" w:w="5184"/>
          </w:tcPr>
          <w:p>
            <w:r>
              <w:t>[Edit]</w:t>
            </w:r>
          </w:p>
        </w:tc>
      </w:tr>
      <w:tr>
        <w:tc>
          <w:tcPr>
            <w:tcW w:type="dxa" w:w="5184"/>
            <w:shd w:fill="F2F2F2"/>
          </w:tcPr>
          <w:p>
            <w:r>
              <w:rPr>
                <w:b/>
              </w:rPr>
              <w:t>Trade / Scope</w:t>
            </w:r>
          </w:p>
        </w:tc>
        <w:tc>
          <w:tcPr>
            <w:tcW w:type="dxa" w:w="5184"/>
          </w:tcPr>
          <w:p>
            <w:r>
              <w:t>[Edit]</w:t>
            </w:r>
          </w:p>
        </w:tc>
      </w:tr>
    </w:tbl>
    <w:p>
      <w:pPr>
        <w:pStyle w:val="Heading1"/>
      </w:pPr>
      <w:r>
        <w:t>1. Required Documents Before Work</w:t>
      </w:r>
    </w:p>
    <w:p>
      <w:pPr>
        <w:pStyle w:val="ListBullet"/>
      </w:pPr>
      <w:r>
        <w:t>Before mobilization or payment, Subcontractor shall provide Contractor with a completed and signed IRS Form W-9 using Subcontractor’s correct legal name and taxpayer identification information.</w:t>
      </w:r>
    </w:p>
    <w:p>
      <w:pPr>
        <w:pStyle w:val="ListBullet"/>
      </w:pPr>
      <w:r>
        <w:t>Subcontractor shall provide a current Certificate of Insurance (“COI”) evidencing all insurance required by Contractor for the applicable work. Coverage must remain in force throughout Subcontractor’s work. Upon request, Subcontractor shall provide applicable endorsements or other evidence of coverage. A COI does not expand or alter the underlying insurance policy.</w:t>
      </w:r>
    </w:p>
    <w:p>
      <w:pPr>
        <w:pStyle w:val="ListBullet"/>
      </w:pPr>
      <w:r>
        <w:t>Subcontractor shall promptly provide licenses, permits, certifications, safety documentation, and any other compliance documents reasonably required for its trade or the project.</w:t>
      </w:r>
    </w:p>
    <w:p>
      <w:pPr>
        <w:pStyle w:val="ListBullet"/>
      </w:pPr>
      <w:r>
        <w:t>Contractor may withhold scheduling, site access, or payment until required documentation is received and accepted.</w:t>
      </w:r>
    </w:p>
    <w:p>
      <w:pPr>
        <w:pStyle w:val="Heading1"/>
      </w:pPr>
      <w:r>
        <w:t>2. Independent Contractor</w:t>
      </w:r>
    </w:p>
    <w:p>
      <w:pPr>
        <w:pStyle w:val="ListBullet"/>
      </w:pPr>
      <w:r>
        <w:t>Subcontractor is an independent contractor and is responsible for its own business operations, taxes, payroll, employees, helpers, means and methods, tools, equipment, and supervision, except as otherwise expressly agreed in writing.</w:t>
      </w:r>
    </w:p>
    <w:p>
      <w:pPr>
        <w:pStyle w:val="ListBullet"/>
      </w:pPr>
      <w:r>
        <w:t>Nothing in this Agreement creates an employer-employee, partnership, joint venture, or agency relationship between Contractor and Subcontractor.</w:t>
      </w:r>
    </w:p>
    <w:p>
      <w:pPr>
        <w:pStyle w:val="Heading1"/>
      </w:pPr>
      <w:r>
        <w:t>3. Scope of Work</w:t>
      </w:r>
    </w:p>
    <w:p>
      <w:pPr>
        <w:pStyle w:val="ListBullet"/>
      </w:pPr>
      <w:r>
        <w:t>Subcontractor shall furnish all labor, supervision, tools, equipment, transportation, incidentals, and materials required to complete the assigned scope unless specifically identified as furnished by Contractor or Owner.</w:t>
      </w:r>
    </w:p>
    <w:p>
      <w:pPr>
        <w:pStyle w:val="ListBullet"/>
      </w:pPr>
      <w:r>
        <w:t>Subcontractor shall perform only authorized work. Extra work or changes require written approval from Contractor before performance. Unauthorized extras may not be paid.</w:t>
      </w:r>
    </w:p>
    <w:p>
      <w:pPr>
        <w:pStyle w:val="Heading1"/>
      </w:pPr>
      <w:r>
        <w:t>4. Workmanship &amp; Completion Expectations</w:t>
      </w:r>
    </w:p>
    <w:p>
      <w:pPr>
        <w:pStyle w:val="ListBullet"/>
      </w:pPr>
      <w:r>
        <w:t>Subcontractor shall perform the work in a professional and workmanlike manner, in accordance with the approved plans, specifications, manufacturer instructions, applicable codes, project requirements, and Contractor’s reasonable quality standards.</w:t>
      </w:r>
    </w:p>
    <w:p>
      <w:pPr>
        <w:pStyle w:val="ListBullet"/>
      </w:pPr>
      <w:r>
        <w:t>Subcontractor is responsible for verifying field conditions affecting its work before proceeding and shall promptly notify Contractor of conflicts, defects, unsafe conditions, or conditions that may affect quality, cost, or schedule.</w:t>
      </w:r>
    </w:p>
    <w:p>
      <w:pPr>
        <w:pStyle w:val="ListBullet"/>
      </w:pPr>
      <w:r>
        <w:t>Work is not considered complete merely because Subcontractor has finished its labor. Completion requires all contracted work to be fully installed and operational as applicable; corrections and punch-list items completed; debris, excess material, and equipment removed; affected work areas left clean; required inspections passed; and closeout documents delivered.</w:t>
      </w:r>
    </w:p>
    <w:p>
      <w:pPr>
        <w:pStyle w:val="ListBullet"/>
      </w:pPr>
      <w:r>
        <w:t>Subcontractor shall promptly correct defective, incomplete, damaged, nonconforming, or unacceptable work at its own cost when the condition results from Subcontractor’s work, materials, personnel, or failure to follow the contract documents.</w:t>
      </w:r>
    </w:p>
    <w:p>
      <w:pPr>
        <w:pStyle w:val="Heading1"/>
      </w:pPr>
      <w:r>
        <w:t>5. Schedule &amp; Coordination</w:t>
      </w:r>
    </w:p>
    <w:p>
      <w:pPr>
        <w:pStyle w:val="ListBullet"/>
      </w:pPr>
      <w:r>
        <w:t>Time is an important condition of performance. Subcontractor shall begin, staff, coordinate, and complete its work according to Contractor’s project schedule and agreed milestones.</w:t>
      </w:r>
    </w:p>
    <w:p>
      <w:pPr>
        <w:pStyle w:val="ListBullet"/>
      </w:pPr>
      <w:r>
        <w:t>Subcontractor shall notify Contractor immediately of any actual or anticipated delay and shall take reasonable steps to recover the schedule. Subcontractor shall coordinate with other trades and shall not unreasonably interfere with their work.</w:t>
      </w:r>
    </w:p>
    <w:p>
      <w:pPr>
        <w:pStyle w:val="ListBullet"/>
      </w:pPr>
      <w:r>
        <w:t>Repeated failure to appear as scheduled, maintain adequate manpower, communicate delays, or timely complete the work may constitute default after any notice and cure required by this Agreement or applicable law.</w:t>
      </w:r>
    </w:p>
    <w:p>
      <w:pPr>
        <w:pStyle w:val="Heading1"/>
      </w:pPr>
      <w:r>
        <w:t>6. Contract Price &amp; Progress Payments</w:t>
      </w:r>
    </w:p>
    <w:p>
      <w:pPr>
        <w:pStyle w:val="ListBullet"/>
      </w:pPr>
      <w:r>
        <w:t>Compensation for each project shall be the amount stated in the applicable written work authorization, subcontract scope, purchase order, accepted proposal, or Exhibit A.</w:t>
      </w:r>
    </w:p>
    <w:p>
      <w:pPr>
        <w:pStyle w:val="ListBullet"/>
      </w:pPr>
      <w:r>
        <w:t>Progress payments, if any, are for work satisfactorily performed and do not constitute final acceptance of the work or waive defects, incomplete work, warranty obligations, offsets, backcharges, or other rights.</w:t>
      </w:r>
    </w:p>
    <w:p>
      <w:pPr>
        <w:pStyle w:val="ListBullet"/>
      </w:pPr>
      <w:r>
        <w:t>Contractor may reasonably withhold amounts associated with incomplete or defective work, unresolved punch-list items, damage caused by Subcontractor, missing required documentation, unpaid lower-tier subcontractors or suppliers, disputed charges, or other amounts for which Contractor may be responsible because of Subcontractor, subject to applicable law.</w:t>
      </w:r>
    </w:p>
    <w:p>
      <w:pPr>
        <w:pStyle w:val="Heading1"/>
      </w:pPr>
      <w:r>
        <w:t>7. Final Payment / Acceptance</w:t>
      </w:r>
    </w:p>
    <w:p>
      <w:pPr>
        <w:pStyle w:val="ListBullet"/>
      </w:pPr>
      <w:r>
        <w:t>FINAL PAYMENT IS NOT DUE merely because Subcontractor has left the project or submitted a final invoice.</w:t>
      </w:r>
    </w:p>
    <w:p>
      <w:pPr>
        <w:pStyle w:val="ListBullet"/>
      </w:pPr>
      <w:r>
        <w:t>Final payment is conditioned on Subcontractor’s full completion of its scope; completion of all punch-list and corrective work; delivery of required warranties, manuals, receipts, releases, lien waivers or affidavits where legally appropriate, and closeout documents; removal of debris and equipment; and satisfaction of other project closeout requirements.</w:t>
      </w:r>
    </w:p>
    <w:p>
      <w:pPr>
        <w:pStyle w:val="ListBullet"/>
      </w:pPr>
      <w:r>
        <w:t>Contractor may inspect the work and obtain client/owner input regarding completion and quality. Final payment may be withheld until the work is complete, good, and reasonably acceptable to Contractor and, where the prime contract requires owner/client acceptance, accepted by the client/owner. Acceptance shall not be unreasonably withheld for work that conforms to the subcontract documents and applicable standards.</w:t>
      </w:r>
    </w:p>
    <w:p>
      <w:pPr>
        <w:pStyle w:val="ListBullet"/>
      </w:pPr>
      <w:r>
        <w:t>Payment, inspection, occupancy, or use of the work does not waive latent defects, warranty obligations, fraud, or other rights that survive completion.</w:t>
      </w:r>
    </w:p>
    <w:p>
      <w:pPr>
        <w:pStyle w:val="Heading1"/>
      </w:pPr>
      <w:r>
        <w:t>8. Invoices, Releases &amp; Payment Documentation</w:t>
      </w:r>
    </w:p>
    <w:p>
      <w:pPr>
        <w:pStyle w:val="ListBullet"/>
      </w:pPr>
      <w:r>
        <w:t>Invoices must identify the project, approved scope, amount billed, prior payments, balance, and approved change orders. Contractor may require conditional or unconditional lien waivers/releases in forms permitted by Texas law as a condition associated with progress or final payment.</w:t>
      </w:r>
    </w:p>
    <w:p>
      <w:pPr>
        <w:pStyle w:val="ListBullet"/>
      </w:pPr>
      <w:r>
        <w:t>Subcontractor shall timely pay its employees, lower-tier subcontractors, suppliers, rental companies, and others furnishing labor or materials through Subcontractor and shall provide reasonable proof of payment upon request.</w:t>
      </w:r>
    </w:p>
    <w:p>
      <w:pPr>
        <w:pStyle w:val="Heading1"/>
      </w:pPr>
      <w:r>
        <w:t>9. Insurance &amp; Safety</w:t>
      </w:r>
    </w:p>
    <w:p>
      <w:pPr>
        <w:pStyle w:val="ListBullet"/>
      </w:pPr>
      <w:r>
        <w:t>Subcontractor is responsible for maintaining insurance appropriate to its trade and project risk, including commercial general liability and commercial auto when applicable, at limits required by Contractor or the project. Workers’ compensation coverage shall be maintained when required by law, the project, or Contractor’s written requirements.</w:t>
      </w:r>
    </w:p>
    <w:p>
      <w:pPr>
        <w:pStyle w:val="ListBullet"/>
      </w:pPr>
      <w:r>
        <w:t>Subcontractor is solely responsible for the safety and supervision of its personnel and for compliance with applicable safety laws and project safety rules. Accidents, injuries, property damage, and unsafe conditions must be reported to Contractor promptly.</w:t>
      </w:r>
    </w:p>
    <w:p>
      <w:pPr>
        <w:pStyle w:val="Heading1"/>
      </w:pPr>
      <w:r>
        <w:t>10. Protection of Work &amp; Property</w:t>
      </w:r>
    </w:p>
    <w:p>
      <w:pPr>
        <w:pStyle w:val="ListBullet"/>
      </w:pPr>
      <w:r>
        <w:t>Subcontractor shall protect existing structures, landscaping, utilities, completed work, neighboring property, and the work of others. Subcontractor is responsible for repair of damage caused by its operations or personnel, subject to the terms of this Agreement and applicable law.</w:t>
      </w:r>
    </w:p>
    <w:p>
      <w:pPr>
        <w:pStyle w:val="Heading1"/>
      </w:pPr>
      <w:r>
        <w:t>11. Changes &amp; Extra Work</w:t>
      </w:r>
    </w:p>
    <w:p>
      <w:pPr>
        <w:pStyle w:val="ListBullet"/>
      </w:pPr>
      <w:r>
        <w:t>No change in scope, price, or time is binding unless authorized in writing by Contractor. Subcontractor shall submit pricing and schedule impacts before performing changed work whenever practicable.</w:t>
      </w:r>
    </w:p>
    <w:p>
      <w:pPr>
        <w:pStyle w:val="Heading1"/>
      </w:pPr>
      <w:r>
        <w:t>12. Warranty</w:t>
      </w:r>
    </w:p>
    <w:p>
      <w:pPr>
        <w:pStyle w:val="ListBullet"/>
      </w:pPr>
      <w:r>
        <w:t>Subcontractor warrants its workmanship for [ONE (1) YEAR / EDIT TERM] from substantial completion of its work, unless a longer period is required by the project documents or manufacturer warranty. Subcontractor shall respond promptly to valid warranty requests attributable to its work.</w:t>
      </w:r>
    </w:p>
    <w:p>
      <w:pPr>
        <w:pStyle w:val="Heading1"/>
      </w:pPr>
      <w:r>
        <w:t>13. Indemnity</w:t>
      </w:r>
    </w:p>
    <w:p>
      <w:pPr>
        <w:pStyle w:val="ListBullet"/>
      </w:pPr>
      <w:r>
        <w:t>To the fullest extent permitted by Texas law, Subcontractor shall be responsible for claims, losses, damages, and expenses to the extent caused by Subcontractor’s negligent acts or omissions, breach of this Agreement, or those for whom Subcontractor is legally responsible. This provision is intended to be enforced only to the extent permitted by applicable Texas law and is not intended to require indemnification that is prohibited by law.</w:t>
      </w:r>
    </w:p>
    <w:p>
      <w:pPr>
        <w:pStyle w:val="Heading1"/>
      </w:pPr>
      <w:r>
        <w:t>14. Default; Correction; Supplementation</w:t>
      </w:r>
    </w:p>
    <w:p>
      <w:pPr>
        <w:pStyle w:val="ListBullet"/>
      </w:pPr>
      <w:r>
        <w:t>If Subcontractor fails to prosecute the work, correct defective work, maintain required insurance, comply with safety requirements, or otherwise materially breaches this Agreement, Contractor may provide written notice and a reasonable opportunity to cure when required. If the default is not timely cured, Contractor may supplement Subcontractor’s forces, correct the work, engage others to complete it, suspend Subcontractor, or terminate the applicable work authorization, and may charge reasonable resulting costs against sums otherwise due, subject to applicable law.</w:t>
      </w:r>
    </w:p>
    <w:p>
      <w:pPr>
        <w:pStyle w:val="ListBullet"/>
      </w:pPr>
      <w:r>
        <w:t>Contractor may take immediate reasonable action without waiting for a cure period when necessary to address an imminent safety hazard, prevent material property damage, or protect the project.</w:t>
      </w:r>
    </w:p>
    <w:p>
      <w:pPr>
        <w:pStyle w:val="Heading1"/>
      </w:pPr>
      <w:r>
        <w:t>15. Cleanup &amp; Closeout</w:t>
      </w:r>
    </w:p>
    <w:p>
      <w:pPr>
        <w:pStyle w:val="ListBullet"/>
      </w:pPr>
      <w:r/>
      <w:r>
        <w:t>Subcontractor shall maintain its work area in an orderly condition and remove trade debris regularly. Final cleanup of Subcontractor’s work and removal of its tools, equipment, temporary materials, and waste are part of the scope unless specifically excluded in writing. If Subcontractor fails to properly clean its work area, a $500.00 CLEANUP CHARGE WILL BE WITHHELD FROM SUBCONTRACTOR’S FINAL PAYMENT. This charge is intended to cover Redline Solutions’ administrative and cleanup costs associated with correcting the condition.</w:t>
      </w:r>
    </w:p>
    <w:p>
      <w:pPr>
        <w:pStyle w:val="Heading1"/>
      </w:pPr>
      <w:r>
        <w:t>16. Non-Solicitation / Client Communication</w:t>
      </w:r>
    </w:p>
    <w:p>
      <w:pPr>
        <w:pStyle w:val="ListBullet"/>
      </w:pPr>
      <w:r>
        <w:t>Subcontractor shall direct pricing, scope changes, payment discussions, and contractual commitments through Contractor. Subcontractor shall not represent that it has authority to modify Contractor’s agreement with the client/owner.</w:t>
      </w:r>
    </w:p>
    <w:p>
      <w:pPr>
        <w:pStyle w:val="Heading1"/>
      </w:pPr>
      <w:r>
        <w:t>17. Compliance with Law</w:t>
      </w:r>
    </w:p>
    <w:p>
      <w:pPr>
        <w:pStyle w:val="ListBullet"/>
      </w:pPr>
      <w:r>
        <w:t>Subcontractor shall comply with applicable federal, state, and local laws, codes, ordinances, permitting requirements, and licensing requirements affecting its work. Nothing in this Agreement waives statutory lien, payment, notice, or other rights that cannot lawfully be waived.</w:t>
      </w:r>
    </w:p>
    <w:p>
      <w:pPr>
        <w:pStyle w:val="Heading1"/>
      </w:pPr>
      <w:r>
        <w:t>18. Governing Law &amp; Disputes</w:t>
      </w:r>
    </w:p>
    <w:p>
      <w:pPr>
        <w:pStyle w:val="ListBullet"/>
      </w:pPr>
      <w:r>
        <w:t>This Agreement is governed by Texas law. Venue for disputes shall be in the Texas county identified in the applicable project work authorization, unless the parties agree otherwise in writing or applicable law requires another venue.</w:t>
      </w:r>
    </w:p>
    <w:p>
      <w:pPr>
        <w:pStyle w:val="ListBullet"/>
      </w:pPr>
      <w:r>
        <w:t>Before filing suit, the parties agree to make a good-faith effort to resolve disputes through direct discussion and, if mutually agreed, mediation. This paragraph does not prevent either party from preserving lien, bond, limitations, notice, or other statutory deadlines.</w:t>
      </w:r>
    </w:p>
    <w:p>
      <w:pPr>
        <w:pStyle w:val="Heading1"/>
      </w:pPr>
      <w:r>
        <w:t>19. Entire Agreement; Project Documents</w:t>
      </w:r>
    </w:p>
    <w:p>
      <w:pPr>
        <w:pStyle w:val="ListBullet"/>
      </w:pPr>
      <w:r>
        <w:t>This Agreement, together with each written work authorization and incorporated project documents, constitutes the agreement for the assigned work. If a project-specific work authorization conflicts with this master Agreement, the project-specific document controls only to the extent it expressly states the intended change.</w:t>
      </w:r>
    </w:p>
    <w:p>
      <w:r>
        <w:br w:type="page"/>
      </w:r>
    </w:p>
    <w:p>
      <w:pPr>
        <w:pStyle w:val="Heading1"/>
      </w:pPr>
      <w:r>
        <w:t>EXHIBIT A — PROJECT WORK AUTHORIZATION</w:t>
      </w:r>
    </w:p>
    <w:tbl>
      <w:tblPr>
        <w:tblStyle w:val="TableGrid"/>
        <w:tblW w:type="auto" w:w="0"/>
        <w:tblLook w:firstColumn="1" w:firstRow="1" w:lastColumn="0" w:lastRow="0" w:noHBand="0" w:noVBand="1" w:val="04A0"/>
      </w:tblPr>
      <w:tblGrid>
        <w:gridCol w:w="5184"/>
        <w:gridCol w:w="5184"/>
      </w:tblGrid>
      <w:tr>
        <w:tc>
          <w:tcPr>
            <w:tcW w:type="dxa" w:w="5184"/>
            <w:shd w:fill="F2F2F2"/>
          </w:tcPr>
          <w:p>
            <w:r>
              <w:rPr>
                <w:b/>
              </w:rPr>
              <w:t>Project / Client</w:t>
            </w:r>
          </w:p>
        </w:tc>
        <w:tc>
          <w:tcPr>
            <w:tcW w:type="dxa" w:w="5184"/>
          </w:tcPr>
          <w:p>
            <w:r>
              <w:t>[Edit]</w:t>
            </w:r>
          </w:p>
        </w:tc>
      </w:tr>
      <w:tr>
        <w:tc>
          <w:tcPr>
            <w:tcW w:type="dxa" w:w="5184"/>
            <w:shd w:fill="F2F2F2"/>
          </w:tcPr>
          <w:p>
            <w:r>
              <w:rPr>
                <w:b/>
              </w:rPr>
              <w:t>Project Address</w:t>
            </w:r>
          </w:p>
        </w:tc>
        <w:tc>
          <w:tcPr>
            <w:tcW w:type="dxa" w:w="5184"/>
          </w:tcPr>
          <w:p>
            <w:r>
              <w:t>[Edit]</w:t>
            </w:r>
          </w:p>
        </w:tc>
      </w:tr>
      <w:tr>
        <w:tc>
          <w:tcPr>
            <w:tcW w:type="dxa" w:w="5184"/>
            <w:shd w:fill="F2F2F2"/>
          </w:tcPr>
          <w:p>
            <w:r>
              <w:rPr>
                <w:b/>
              </w:rPr>
              <w:t>Subcontractor Trade</w:t>
            </w:r>
          </w:p>
        </w:tc>
        <w:tc>
          <w:tcPr>
            <w:tcW w:type="dxa" w:w="5184"/>
          </w:tcPr>
          <w:p>
            <w:r>
              <w:t>[Edit]</w:t>
            </w:r>
          </w:p>
        </w:tc>
      </w:tr>
      <w:tr>
        <w:tc>
          <w:tcPr>
            <w:tcW w:type="dxa" w:w="5184"/>
            <w:shd w:fill="F2F2F2"/>
          </w:tcPr>
          <w:p>
            <w:r>
              <w:rPr>
                <w:b/>
              </w:rPr>
              <w:t>Detailed Scope</w:t>
            </w:r>
          </w:p>
        </w:tc>
        <w:tc>
          <w:tcPr>
            <w:tcW w:type="dxa" w:w="5184"/>
          </w:tcPr>
          <w:p>
            <w:r>
              <w:t>[Attach proposal/scope or describe here]</w:t>
            </w:r>
          </w:p>
        </w:tc>
      </w:tr>
      <w:tr>
        <w:tc>
          <w:tcPr>
            <w:tcW w:type="dxa" w:w="5184"/>
            <w:shd w:fill="F2F2F2"/>
          </w:tcPr>
          <w:p>
            <w:r>
              <w:rPr>
                <w:b/>
              </w:rPr>
              <w:t>Contract Amount</w:t>
            </w:r>
          </w:p>
        </w:tc>
        <w:tc>
          <w:tcPr>
            <w:tcW w:type="dxa" w:w="5184"/>
          </w:tcPr>
          <w:p>
            <w:r>
              <w:t>$[Edit]</w:t>
            </w:r>
          </w:p>
        </w:tc>
      </w:tr>
      <w:tr>
        <w:tc>
          <w:tcPr>
            <w:tcW w:type="dxa" w:w="5184"/>
            <w:shd w:fill="F2F2F2"/>
          </w:tcPr>
          <w:p>
            <w:r>
              <w:rPr>
                <w:b/>
              </w:rPr>
              <w:t>Start Date</w:t>
            </w:r>
          </w:p>
        </w:tc>
        <w:tc>
          <w:tcPr>
            <w:tcW w:type="dxa" w:w="5184"/>
          </w:tcPr>
          <w:p>
            <w:r>
              <w:t>[Edit]</w:t>
            </w:r>
          </w:p>
        </w:tc>
      </w:tr>
      <w:tr>
        <w:tc>
          <w:tcPr>
            <w:tcW w:type="dxa" w:w="5184"/>
            <w:shd w:fill="F2F2F2"/>
          </w:tcPr>
          <w:p>
            <w:r>
              <w:rPr>
                <w:b/>
              </w:rPr>
              <w:t>Required Completion Date</w:t>
            </w:r>
          </w:p>
        </w:tc>
        <w:tc>
          <w:tcPr>
            <w:tcW w:type="dxa" w:w="5184"/>
          </w:tcPr>
          <w:p>
            <w:r>
              <w:t>[Edit]</w:t>
            </w:r>
          </w:p>
        </w:tc>
      </w:tr>
      <w:tr>
        <w:tc>
          <w:tcPr>
            <w:tcW w:type="dxa" w:w="5184"/>
            <w:shd w:fill="F2F2F2"/>
          </w:tcPr>
          <w:p>
            <w:r>
              <w:rPr>
                <w:b/>
              </w:rPr>
              <w:t>Payment Schedule</w:t>
            </w:r>
          </w:p>
        </w:tc>
        <w:tc>
          <w:tcPr>
            <w:tcW w:type="dxa" w:w="5184"/>
          </w:tcPr>
          <w:p>
            <w:r>
              <w:t>[Edit milestones / progress payments / final balance]</w:t>
            </w:r>
          </w:p>
        </w:tc>
      </w:tr>
    </w:tbl>
    <w:p>
      <w:pPr>
        <w:pStyle w:val="Heading2"/>
      </w:pPr>
      <w:r>
        <w:t>Required Pre-Start Checklist</w:t>
      </w:r>
    </w:p>
    <w:p>
      <w:r>
        <w:t>☐ Signed Subcontractor Agreement</w:t>
      </w:r>
    </w:p>
    <w:p>
      <w:r>
        <w:t>☐ Completed Form W-9</w:t>
      </w:r>
    </w:p>
    <w:p>
      <w:r>
        <w:t>☐ Current Certificate of Insurance (COI)</w:t>
      </w:r>
    </w:p>
    <w:p>
      <w:r>
        <w:t>☐ Required licenses/certifications</w:t>
      </w:r>
    </w:p>
    <w:p>
      <w:r>
        <w:t>☐ Approved scope and price</w:t>
      </w:r>
    </w:p>
    <w:p>
      <w:r>
        <w:t>☐ Schedule/start date confirmed</w:t>
      </w:r>
    </w:p>
    <w:p>
      <w:pPr>
        <w:pStyle w:val="Heading1"/>
      </w:pPr>
      <w:r>
        <w:t>Signatures</w:t>
      </w:r>
    </w:p>
    <w:p>
      <w:r>
        <w:t>The parties acknowledge that they have read and agree to this Subcontractor Agreement and the applicable Project Work Authorization.</w:t>
      </w:r>
    </w:p>
    <w:tbl>
      <w:tblPr>
        <w:tblW w:type="auto" w:w="0"/>
        <w:tblLook w:firstColumn="1" w:firstRow="1" w:lastColumn="0" w:lastRow="0" w:noHBand="0" w:noVBand="1" w:val="04A0"/>
        <w:tblBorders>
          <w:top w:val="nil"/>
          <w:left w:val="nil"/>
          <w:bottom w:val="nil"/>
          <w:right w:val="nil"/>
          <w:insideH w:val="nil"/>
          <w:insideV w:val="nil"/>
        </w:tblBorders>
      </w:tblPr>
      <w:tblGrid>
        <w:gridCol w:w="5184"/>
        <w:gridCol w:w="5184"/>
      </w:tblGrid>
      <w:tr>
        <w:tc>
          <w:tcPr>
            <w:tcW w:type="dxa" w:w="5184"/>
          </w:tcPr>
          <w:p>
            <w:r>
              <w:rPr>
                <w:b/>
                <w:color w:val="B32025"/>
              </w:rPr>
              <w:t>REDLINE SOLUTIONS</w:t>
            </w:r>
          </w:p>
        </w:tc>
        <w:tc>
          <w:tcPr>
            <w:tcW w:type="dxa" w:w="5184"/>
          </w:tcPr>
          <w:p>
            <w:r>
              <w:rPr>
                <w:b/>
                <w:color w:val="171717"/>
              </w:rPr>
              <w:t>SUBCONTRACTOR</w:t>
            </w:r>
          </w:p>
        </w:tc>
      </w:tr>
      <w:tr>
        <w:tc>
          <w:tcPr>
            <w:tcW w:type="dxa" w:w="5184"/>
          </w:tcPr>
          <w:p>
            <w:r>
              <w:t>By: ______________________________</w:t>
            </w:r>
          </w:p>
        </w:tc>
        <w:tc>
          <w:tcPr>
            <w:tcW w:type="dxa" w:w="5184"/>
          </w:tcPr>
          <w:p>
            <w:r>
              <w:t>By: ______________________________</w:t>
            </w:r>
          </w:p>
        </w:tc>
      </w:tr>
      <w:tr>
        <w:tc>
          <w:tcPr>
            <w:tcW w:type="dxa" w:w="5184"/>
          </w:tcPr>
          <w:p>
            <w:r>
              <w:t>Printed Name: _____________________</w:t>
            </w:r>
          </w:p>
        </w:tc>
        <w:tc>
          <w:tcPr>
            <w:tcW w:type="dxa" w:w="5184"/>
          </w:tcPr>
          <w:p>
            <w:r>
              <w:t>Printed Name: _____________________</w:t>
            </w:r>
          </w:p>
        </w:tc>
      </w:tr>
      <w:tr>
        <w:tc>
          <w:tcPr>
            <w:tcW w:type="dxa" w:w="5184"/>
          </w:tcPr>
          <w:p>
            <w:r>
              <w:t>Title: _____________________________</w:t>
            </w:r>
          </w:p>
        </w:tc>
        <w:tc>
          <w:tcPr>
            <w:tcW w:type="dxa" w:w="5184"/>
          </w:tcPr>
          <w:p>
            <w:r>
              <w:t>Title: _____________________________</w:t>
            </w:r>
          </w:p>
        </w:tc>
      </w:tr>
      <w:tr>
        <w:tc>
          <w:tcPr>
            <w:tcW w:type="dxa" w:w="5184"/>
          </w:tcPr>
          <w:p>
            <w:r>
              <w:t>Date: _____________________________</w:t>
            </w:r>
          </w:p>
        </w:tc>
        <w:tc>
          <w:tcPr>
            <w:tcW w:type="dxa" w:w="5184"/>
          </w:tcPr>
          <w:p>
            <w:r>
              <w:t>Date: _____________________________</w:t>
            </w:r>
          </w:p>
        </w:tc>
      </w:tr>
    </w:tbl>
    <w:p/>
    <w:p>
      <w:r>
        <w:rPr>
          <w:b/>
        </w:rPr>
        <w:t xml:space="preserve">Internal note: </w:t>
      </w:r>
      <w:r>
        <w:t>Have Texas construction counsel review this master agreement, especially insurance limits/endorsements, indemnity, lien-release procedures, payment timing, and any project-specific public-work requirements before adopting it as Redline’s standard form.</w:t>
      </w:r>
    </w:p>
    <w:sectPr w:rsidR="00FC693F" w:rsidRPr="0006063C" w:rsidSect="00034616">
      <w:headerReference w:type="default" r:id="rId9"/>
      <w:footerReference w:type="default" r:id="rId10"/>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Redline Solutions  |  (903) 602-9785  |  Office@redlinesolutionsgc.com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ook w:firstColumn="1" w:firstRow="1" w:lastColumn="0" w:lastRow="0" w:noHBand="0" w:noVBand="1" w:val="04A0"/>
      <w:tblBorders>
        <w:top w:val="nil"/>
        <w:left w:val="nil"/>
        <w:bottom w:val="nil"/>
        <w:right w:val="nil"/>
        <w:insideH w:val="nil"/>
        <w:insideV w:val="nil"/>
      </w:tblBorders>
    </w:tblPr>
    <w:tblGrid>
      <w:gridCol w:w="5184"/>
      <w:gridCol w:w="5184"/>
    </w:tblGrid>
    <w:tr>
      <w:tc>
        <w:tcPr>
          <w:tcW w:type="dxa" w:w="5184"/>
        </w:tcPr>
        <w:p>
          <w:r>
            <w:rPr>
              <w:b/>
              <w:color w:val="B32025"/>
              <w:sz w:val="34"/>
            </w:rPr>
            <w:t>REDLINE</w:t>
          </w:r>
          <w:r>
            <w:rPr>
              <w:b/>
              <w:sz w:val="34"/>
            </w:rPr>
            <w:t xml:space="preserve"> SOLUTIONS</w:t>
          </w:r>
        </w:p>
      </w:tc>
      <w:tc>
        <w:tcPr>
          <w:tcW w:type="dxa" w:w="5184"/>
        </w:tcPr>
        <w:p>
          <w:pPr>
            <w:jc w:val="right"/>
          </w:pPr>
          <w:r>
            <w:rPr>
              <w:b/>
              <w:color w:val="666666"/>
              <w:sz w:val="16"/>
            </w:rPr>
            <w:t>DESIGN | BUILD | RENOVATE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71717"/>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B32025"/>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1717"/>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